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F789" w14:textId="7A46ED5D" w:rsidR="00A23C74" w:rsidRDefault="00A23C74" w:rsidP="00CF1387">
      <w:pPr>
        <w:jc w:val="left"/>
        <w:rPr>
          <w:rFonts w:cs="Times New Roman"/>
          <w:iCs/>
          <w:szCs w:val="24"/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1CE33976" wp14:editId="1E2E328B">
            <wp:simplePos x="0" y="0"/>
            <wp:positionH relativeFrom="column">
              <wp:posOffset>3710305</wp:posOffset>
            </wp:positionH>
            <wp:positionV relativeFrom="paragraph">
              <wp:posOffset>-93926</wp:posOffset>
            </wp:positionV>
            <wp:extent cx="2190750" cy="1517015"/>
            <wp:effectExtent l="0" t="0" r="6350" b="0"/>
            <wp:wrapNone/>
            <wp:docPr id="9" name="Grafik 9" descr="Ein Bild, das Text, Person, Gruppe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9" descr="Ein Bild, das Text, Person, Gruppe, Perso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5374">
        <w:rPr>
          <w:rFonts w:cs="Times New Roman"/>
          <w:b/>
          <w:bCs/>
          <w:iCs/>
          <w:sz w:val="40"/>
          <w:szCs w:val="40"/>
          <w:lang w:val="en-GB"/>
        </w:rPr>
        <w:t>Truth and Reconciliation</w:t>
      </w:r>
      <w:r w:rsidRPr="00BA5374">
        <w:rPr>
          <w:rFonts w:cs="Times New Roman"/>
          <w:iCs/>
          <w:szCs w:val="24"/>
          <w:lang w:val="en-GB"/>
        </w:rPr>
        <w:br/>
      </w:r>
      <w:r w:rsidRPr="00BA5374">
        <w:rPr>
          <w:rFonts w:cs="Times New Roman"/>
          <w:i/>
          <w:szCs w:val="24"/>
          <w:lang w:val="en-GB"/>
        </w:rPr>
        <w:t xml:space="preserve">True Justice: Bryan Stevenson’s Fight </w:t>
      </w:r>
      <w:r>
        <w:rPr>
          <w:rFonts w:cs="Times New Roman"/>
          <w:i/>
          <w:szCs w:val="24"/>
          <w:lang w:val="en-GB"/>
        </w:rPr>
        <w:t>f</w:t>
      </w:r>
      <w:r w:rsidRPr="00BA5374">
        <w:rPr>
          <w:rFonts w:cs="Times New Roman"/>
          <w:i/>
          <w:szCs w:val="24"/>
          <w:lang w:val="en-GB"/>
        </w:rPr>
        <w:t>or Equality</w:t>
      </w:r>
      <w:r w:rsidRPr="00BA5374">
        <w:rPr>
          <w:rFonts w:cs="Times New Roman"/>
          <w:iCs/>
          <w:szCs w:val="24"/>
          <w:lang w:val="en-GB"/>
        </w:rPr>
        <w:br/>
      </w:r>
      <w:r>
        <w:rPr>
          <w:rFonts w:cs="Times New Roman"/>
          <w:iCs/>
          <w:szCs w:val="24"/>
          <w:lang w:val="en-GB"/>
        </w:rPr>
        <w:t>(</w:t>
      </w:r>
      <w:r w:rsidRPr="00BA5374">
        <w:rPr>
          <w:rFonts w:cs="Times New Roman"/>
          <w:iCs/>
          <w:szCs w:val="24"/>
          <w:lang w:val="en-GB"/>
        </w:rPr>
        <w:t>1:28:00 – 1:31:35</w:t>
      </w:r>
      <w:r>
        <w:rPr>
          <w:rFonts w:cs="Times New Roman"/>
          <w:iCs/>
          <w:szCs w:val="24"/>
          <w:lang w:val="en-GB"/>
        </w:rPr>
        <w:t>)</w:t>
      </w:r>
      <w:r w:rsidRPr="00BA5374">
        <w:rPr>
          <w:rFonts w:cs="Times New Roman"/>
          <w:iCs/>
          <w:szCs w:val="24"/>
          <w:lang w:val="en-GB"/>
        </w:rPr>
        <w:t xml:space="preserve"> </w:t>
      </w:r>
      <w:r w:rsidRPr="00BA5374">
        <w:rPr>
          <w:rFonts w:cs="Times New Roman"/>
          <w:iCs/>
          <w:szCs w:val="24"/>
          <w:lang w:val="en-GB"/>
        </w:rPr>
        <w:br/>
      </w:r>
    </w:p>
    <w:p w14:paraId="413F2D9E" w14:textId="0A6B660D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</w:p>
    <w:p w14:paraId="2FC5E123" w14:textId="5536C9A0" w:rsidR="00A23C74" w:rsidRDefault="00A23C74" w:rsidP="00A23C74">
      <w:pPr>
        <w:jc w:val="left"/>
        <w:rPr>
          <w:rFonts w:cs="Times New Roman"/>
          <w:iCs/>
          <w:szCs w:val="24"/>
          <w:lang w:val="en-GB"/>
        </w:rPr>
      </w:pPr>
      <w:r>
        <w:rPr>
          <w:rFonts w:cs="Times New Roman"/>
          <w:iCs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41E73" wp14:editId="51092136">
                <wp:simplePos x="0" y="0"/>
                <wp:positionH relativeFrom="column">
                  <wp:posOffset>3631262</wp:posOffset>
                </wp:positionH>
                <wp:positionV relativeFrom="paragraph">
                  <wp:posOffset>157944</wp:posOffset>
                </wp:positionV>
                <wp:extent cx="2272636" cy="47625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636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76A70" w14:textId="77777777" w:rsidR="00A23C74" w:rsidRPr="00A23C74" w:rsidRDefault="00A23C74" w:rsidP="00A23C74">
                            <w:pPr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A23C74">
                              <w:rPr>
                                <w:b/>
                                <w:bCs/>
                                <w:sz w:val="15"/>
                                <w:szCs w:val="15"/>
                                <w:lang w:val="en-US"/>
                              </w:rPr>
                              <w:t>The Truth and Reconciliation Commission</w:t>
                            </w:r>
                            <w:r w:rsidRPr="00A23C74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A23C74">
                              <w:rPr>
                                <w:color w:val="7F7F7F" w:themeColor="text1" w:themeTint="80"/>
                                <w:sz w:val="15"/>
                                <w:szCs w:val="15"/>
                                <w:lang w:val="en-US"/>
                              </w:rPr>
                              <w:t>(by Benny Gool, Oryx Media, licensed under a Creative Commons Attribution 4.0 license (CC-BY).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41E73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285.95pt;margin-top:12.45pt;width:178.9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U+mFwIAACwEAAAOAAAAZHJzL2Uyb0RvYy54bWysU11v2yAUfZ+0/4B4X5y4qdNZcaqsVaZJ&#13;&#10;UVspnfpMMMSWMJcBiZ39+l2w87FuT9Ne4MK93I9zDvP7rlHkIKyrQRd0MhpTIjSHsta7gn5/XX26&#13;&#10;o8R5pkumQIuCHoWj94uPH+atyUUKFahSWIJJtMtbU9DKe5MnieOVaJgbgREanRJswzwe7S4pLWsx&#13;&#10;e6OSdDzOkhZsaSxw4RzePvZOuoj5pRTcP0vphCeqoNibj6uN6zasyWLO8p1lpqr50Ab7hy4aVmss&#13;&#10;ek71yDwje1v/kaqpuQUH0o84NAlIWXMRZ8BpJuN302wqZkScBcFx5gyT+39p+dNhY14s8d0X6JDA&#13;&#10;AEhrXO7wMszTSduEHTsl6EcIj2fYROcJx8s0naXZTUYJR990lqW3Edfk8tpY578KaEgwCmqRlogW&#13;&#10;O6ydx4oYegoJxTSsaqUiNUqTtqDZDab8zYMvlMaHl16D5bttNwywhfKIc1noKXeGr2osvmbOvzCL&#13;&#10;HOMoqFv/jItUgEVgsCipwP78232IR+jRS0mLmimo+7FnVlCivmkk5fNkOg0ii4fp7SzFg732bK89&#13;&#10;et88AMpygj/E8GiGeK9OprTQvKG8l6EqupjmWLug/mQ++F7J+D24WC5jEMrKML/WG8ND6gBagPa1&#13;&#10;e2PWDPh7ZO4JTupi+Tsa+tge7uXeg6wjRwHgHtUBd5RkpG74PkHz1+cYdfnki18AAAD//wMAUEsD&#13;&#10;BBQABgAIAAAAIQCULZQT4wAAAA4BAAAPAAAAZHJzL2Rvd25yZXYueG1sTE87T8MwEN6R+A/WVWKj&#13;&#10;TiMKdRqnqoIqJESHli5sTuwmUe1ziN028Os5Jljuofvue+Sr0Vl2MUPoPEqYTRNgBmuvO2wkHN43&#13;&#10;9wtgISrUyno0Er5MgFVxe5OrTPsr7sxlHxtGJBgyJaGNsc84D3VrnApT3xuk29EPTkVah4brQV2J&#13;&#10;3FmeJskjd6pDUmhVb8rW1Kf92Ul4LTdbtatSt/i25cvbcd1/Hj7mUt5NxucllfUSWDRj/PuA3wzk&#13;&#10;HwoyVvkz6sCshPnTTBBUQvpAnQAiFRSookEI4EXO/8cofgAAAP//AwBQSwECLQAUAAYACAAAACEA&#13;&#10;toM4kv4AAADhAQAAEwAAAAAAAAAAAAAAAAAAAAAAW0NvbnRlbnRfVHlwZXNdLnhtbFBLAQItABQA&#13;&#10;BgAIAAAAIQA4/SH/1gAAAJQBAAALAAAAAAAAAAAAAAAAAC8BAABfcmVscy8ucmVsc1BLAQItABQA&#13;&#10;BgAIAAAAIQAoSU+mFwIAACwEAAAOAAAAAAAAAAAAAAAAAC4CAABkcnMvZTJvRG9jLnhtbFBLAQIt&#13;&#10;ABQABgAIAAAAIQCULZQT4wAAAA4BAAAPAAAAAAAAAAAAAAAAAHEEAABkcnMvZG93bnJldi54bWxQ&#13;&#10;SwUGAAAAAAQABADzAAAAgQUAAAAA&#13;&#10;" filled="f" stroked="f" strokeweight=".5pt">
                <v:textbox>
                  <w:txbxContent>
                    <w:p w14:paraId="7D876A70" w14:textId="77777777" w:rsidR="00A23C74" w:rsidRPr="00A23C74" w:rsidRDefault="00A23C74" w:rsidP="00A23C74">
                      <w:pPr>
                        <w:rPr>
                          <w:sz w:val="15"/>
                          <w:szCs w:val="15"/>
                          <w:lang w:val="en-US"/>
                        </w:rPr>
                      </w:pPr>
                      <w:r w:rsidRPr="00A23C74">
                        <w:rPr>
                          <w:b/>
                          <w:bCs/>
                          <w:sz w:val="15"/>
                          <w:szCs w:val="15"/>
                          <w:lang w:val="en-US"/>
                        </w:rPr>
                        <w:t>The Truth and Reconciliation Commission</w:t>
                      </w:r>
                      <w:r w:rsidRPr="00A23C74">
                        <w:rPr>
                          <w:sz w:val="15"/>
                          <w:szCs w:val="15"/>
                          <w:lang w:val="en-US"/>
                        </w:rPr>
                        <w:t xml:space="preserve"> </w:t>
                      </w:r>
                      <w:r w:rsidRPr="00A23C74">
                        <w:rPr>
                          <w:color w:val="7F7F7F" w:themeColor="text1" w:themeTint="80"/>
                          <w:sz w:val="15"/>
                          <w:szCs w:val="15"/>
                          <w:lang w:val="en-US"/>
                        </w:rPr>
                        <w:t>(by Benny Gool, Oryx Media, licensed under a Creative Commons Attribution 4.0 license (CC-BY).</w:t>
                      </w:r>
                    </w:p>
                  </w:txbxContent>
                </v:textbox>
              </v:shape>
            </w:pict>
          </mc:Fallback>
        </mc:AlternateContent>
      </w:r>
    </w:p>
    <w:p w14:paraId="188E9C76" w14:textId="4651D0F1" w:rsidR="00A23C74" w:rsidRDefault="00A0359E" w:rsidP="00A0359E">
      <w:pPr>
        <w:tabs>
          <w:tab w:val="left" w:pos="3735"/>
        </w:tabs>
        <w:jc w:val="left"/>
        <w:rPr>
          <w:rFonts w:cs="Times New Roman"/>
          <w:iCs/>
          <w:szCs w:val="24"/>
          <w:lang w:val="en-GB"/>
        </w:rPr>
      </w:pPr>
      <w:r>
        <w:rPr>
          <w:rFonts w:cs="Times New Roman"/>
          <w:iCs/>
          <w:szCs w:val="24"/>
          <w:lang w:val="en-GB"/>
        </w:rPr>
        <w:tab/>
      </w:r>
    </w:p>
    <w:p w14:paraId="0C9CB94A" w14:textId="77777777" w:rsidR="00A23C74" w:rsidRPr="00BA5374" w:rsidRDefault="00A23C74" w:rsidP="00A23C74">
      <w:pPr>
        <w:jc w:val="left"/>
        <w:rPr>
          <w:rFonts w:cs="Times New Roman"/>
          <w:iCs/>
          <w:szCs w:val="24"/>
          <w:lang w:val="en-GB"/>
        </w:rPr>
      </w:pPr>
    </w:p>
    <w:p w14:paraId="3215073A" w14:textId="1E79E32E" w:rsidR="00A23C74" w:rsidRPr="00BA5374" w:rsidRDefault="00A23C74" w:rsidP="00A23C74">
      <w:pPr>
        <w:jc w:val="left"/>
        <w:rPr>
          <w:b/>
          <w:bCs/>
          <w:szCs w:val="24"/>
          <w:lang w:val="en-GB"/>
        </w:rPr>
      </w:pPr>
      <w:r w:rsidRPr="00BA5374">
        <w:rPr>
          <w:b/>
          <w:bCs/>
          <w:szCs w:val="24"/>
          <w:lang w:val="en-GB"/>
        </w:rPr>
        <w:t xml:space="preserve">1. Explain the </w:t>
      </w:r>
      <w:r w:rsidR="00E3679A">
        <w:rPr>
          <w:b/>
          <w:bCs/>
          <w:szCs w:val="24"/>
          <w:lang w:val="en-GB"/>
        </w:rPr>
        <w:t>main idea</w:t>
      </w:r>
      <w:r w:rsidRPr="00BA5374">
        <w:rPr>
          <w:b/>
          <w:bCs/>
          <w:szCs w:val="24"/>
          <w:lang w:val="en-GB"/>
        </w:rPr>
        <w:t xml:space="preserve"> of “truth and reconciliation”</w:t>
      </w:r>
      <w:r w:rsidR="00CF315E">
        <w:rPr>
          <w:b/>
          <w:bCs/>
          <w:szCs w:val="24"/>
          <w:lang w:val="en-GB"/>
        </w:rPr>
        <w:t>.</w:t>
      </w:r>
      <w:r w:rsidRPr="00BA5374">
        <w:rPr>
          <w:b/>
          <w:bCs/>
          <w:szCs w:val="24"/>
          <w:lang w:val="en-GB"/>
        </w:rPr>
        <w:t xml:space="preserve">  </w:t>
      </w:r>
    </w:p>
    <w:p w14:paraId="7CE10A9E" w14:textId="77AE9D0A" w:rsidR="008F2D59" w:rsidRPr="008F2D59" w:rsidRDefault="003E4D6D" w:rsidP="00CF13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color w:val="7F7F7F" w:themeColor="text1" w:themeTint="80"/>
          <w:szCs w:val="24"/>
          <w:lang w:val="en-GB"/>
        </w:rPr>
      </w:pPr>
      <w:r>
        <w:rPr>
          <w:color w:val="7F7F7F" w:themeColor="text1" w:themeTint="80"/>
          <w:szCs w:val="24"/>
          <w:lang w:val="en-GB"/>
        </w:rPr>
        <w:t xml:space="preserve">The German translations of the two terms are: </w:t>
      </w:r>
      <w:r w:rsidR="008F2D59" w:rsidRPr="00CF1387">
        <w:rPr>
          <w:color w:val="7F7F7F" w:themeColor="text1" w:themeTint="80"/>
          <w:szCs w:val="24"/>
          <w:lang w:val="en-GB"/>
        </w:rPr>
        <w:t>“</w:t>
      </w:r>
      <w:r w:rsidR="008F2D59" w:rsidRPr="008F2D59">
        <w:rPr>
          <w:color w:val="7F7F7F" w:themeColor="text1" w:themeTint="80"/>
          <w:szCs w:val="24"/>
          <w:lang w:val="en-GB"/>
        </w:rPr>
        <w:t>Wahrheit</w:t>
      </w:r>
      <w:r w:rsidR="008F2D59" w:rsidRPr="00CF1387">
        <w:rPr>
          <w:color w:val="7F7F7F" w:themeColor="text1" w:themeTint="80"/>
          <w:szCs w:val="24"/>
          <w:lang w:val="en-GB"/>
        </w:rPr>
        <w:t>”</w:t>
      </w:r>
      <w:r w:rsidR="008F2D59" w:rsidRPr="008F2D59">
        <w:rPr>
          <w:color w:val="7F7F7F" w:themeColor="text1" w:themeTint="80"/>
          <w:szCs w:val="24"/>
          <w:lang w:val="en-GB"/>
        </w:rPr>
        <w:t xml:space="preserve"> and Reconciliation</w:t>
      </w:r>
    </w:p>
    <w:p w14:paraId="60614170" w14:textId="0F651A7A" w:rsidR="008F2D59" w:rsidRPr="008F2D59" w:rsidRDefault="003E4D6D" w:rsidP="00CF13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color w:val="7F7F7F" w:themeColor="text1" w:themeTint="80"/>
          <w:szCs w:val="24"/>
          <w:lang w:val="en-GB"/>
        </w:rPr>
      </w:pPr>
      <w:r>
        <w:rPr>
          <w:color w:val="7F7F7F" w:themeColor="text1" w:themeTint="80"/>
          <w:szCs w:val="24"/>
          <w:lang w:val="en-GB"/>
        </w:rPr>
        <w:t>The Truth and</w:t>
      </w:r>
      <w:r w:rsidR="005528B0">
        <w:rPr>
          <w:color w:val="7F7F7F" w:themeColor="text1" w:themeTint="80"/>
          <w:szCs w:val="24"/>
          <w:lang w:val="en-GB"/>
        </w:rPr>
        <w:t xml:space="preserve"> Reconciliation</w:t>
      </w:r>
      <w:r>
        <w:rPr>
          <w:color w:val="7F7F7F" w:themeColor="text1" w:themeTint="80"/>
          <w:szCs w:val="24"/>
          <w:lang w:val="en-GB"/>
        </w:rPr>
        <w:t xml:space="preserve"> Commissions in the US can be considered as </w:t>
      </w:r>
      <w:r w:rsidR="008F2D59" w:rsidRPr="008F2D59">
        <w:rPr>
          <w:color w:val="7F7F7F" w:themeColor="text1" w:themeTint="80"/>
          <w:szCs w:val="24"/>
          <w:lang w:val="en-GB"/>
        </w:rPr>
        <w:t>educational and memorial movement</w:t>
      </w:r>
      <w:r>
        <w:rPr>
          <w:color w:val="7F7F7F" w:themeColor="text1" w:themeTint="80"/>
          <w:szCs w:val="24"/>
          <w:lang w:val="en-GB"/>
        </w:rPr>
        <w:t>s which want to remember</w:t>
      </w:r>
      <w:r w:rsidR="008F2D59" w:rsidRPr="008F2D59">
        <w:rPr>
          <w:color w:val="7F7F7F" w:themeColor="text1" w:themeTint="80"/>
          <w:szCs w:val="24"/>
          <w:lang w:val="en-GB"/>
        </w:rPr>
        <w:t xml:space="preserve"> the </w:t>
      </w:r>
      <w:r>
        <w:rPr>
          <w:color w:val="7F7F7F" w:themeColor="text1" w:themeTint="80"/>
          <w:szCs w:val="24"/>
          <w:lang w:val="en-GB"/>
        </w:rPr>
        <w:t>past</w:t>
      </w:r>
      <w:r w:rsidR="005528B0">
        <w:rPr>
          <w:color w:val="7F7F7F" w:themeColor="text1" w:themeTint="80"/>
          <w:szCs w:val="24"/>
          <w:lang w:val="en-GB"/>
        </w:rPr>
        <w:t xml:space="preserve"> </w:t>
      </w:r>
      <w:r w:rsidR="008F2D59" w:rsidRPr="008F2D59">
        <w:rPr>
          <w:color w:val="7F7F7F" w:themeColor="text1" w:themeTint="80"/>
          <w:szCs w:val="24"/>
          <w:lang w:val="en-GB"/>
        </w:rPr>
        <w:t xml:space="preserve">suffering of people. </w:t>
      </w:r>
      <w:r>
        <w:rPr>
          <w:color w:val="7F7F7F" w:themeColor="text1" w:themeTint="80"/>
          <w:szCs w:val="24"/>
          <w:lang w:val="en-GB"/>
        </w:rPr>
        <w:t xml:space="preserve">By commemorating injustices suffered in the past, the commissions try to educate people towards a better and more equal </w:t>
      </w:r>
      <w:r w:rsidR="005528B0">
        <w:rPr>
          <w:color w:val="7F7F7F" w:themeColor="text1" w:themeTint="80"/>
          <w:szCs w:val="24"/>
          <w:lang w:val="en-GB"/>
        </w:rPr>
        <w:t>future</w:t>
      </w:r>
      <w:r>
        <w:rPr>
          <w:color w:val="7F7F7F" w:themeColor="text1" w:themeTint="80"/>
          <w:szCs w:val="24"/>
          <w:lang w:val="en-GB"/>
        </w:rPr>
        <w:t>.</w:t>
      </w:r>
    </w:p>
    <w:p w14:paraId="192C0051" w14:textId="13010C55" w:rsidR="00A23C74" w:rsidRPr="00CF1387" w:rsidRDefault="008F2D59" w:rsidP="00CF13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color w:val="7F7F7F" w:themeColor="text1" w:themeTint="80"/>
          <w:szCs w:val="24"/>
          <w:lang w:val="en-GB"/>
        </w:rPr>
      </w:pPr>
      <w:r w:rsidRPr="008F2D59">
        <w:rPr>
          <w:color w:val="7F7F7F" w:themeColor="text1" w:themeTint="80"/>
          <w:szCs w:val="24"/>
          <w:lang w:val="en-GB"/>
        </w:rPr>
        <w:t xml:space="preserve">Here in </w:t>
      </w:r>
      <w:r w:rsidRPr="00CF1387">
        <w:rPr>
          <w:color w:val="7F7F7F" w:themeColor="text1" w:themeTint="80"/>
          <w:szCs w:val="24"/>
          <w:lang w:val="en-GB"/>
        </w:rPr>
        <w:t>Germany,</w:t>
      </w:r>
      <w:r w:rsidRPr="008F2D59">
        <w:rPr>
          <w:color w:val="7F7F7F" w:themeColor="text1" w:themeTint="80"/>
          <w:szCs w:val="24"/>
          <w:lang w:val="en-GB"/>
        </w:rPr>
        <w:t xml:space="preserve"> we have the “Erinnerungskultur”. I think this is similar.</w:t>
      </w:r>
    </w:p>
    <w:p w14:paraId="2A42C1F1" w14:textId="77777777" w:rsidR="00CF1387" w:rsidRDefault="00CF1387" w:rsidP="008F2D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szCs w:val="24"/>
          <w:lang w:val="en-GB"/>
        </w:rPr>
      </w:pPr>
    </w:p>
    <w:p w14:paraId="4814D973" w14:textId="77777777" w:rsidR="00A23C74" w:rsidRDefault="00A23C74" w:rsidP="00A23C74">
      <w:pPr>
        <w:jc w:val="left"/>
        <w:rPr>
          <w:b/>
          <w:bCs/>
          <w:szCs w:val="24"/>
          <w:lang w:val="en-GB"/>
        </w:rPr>
      </w:pPr>
    </w:p>
    <w:p w14:paraId="62E6E931" w14:textId="77777777" w:rsidR="00A23C74" w:rsidRPr="00BA5374" w:rsidRDefault="00A23C74" w:rsidP="00A23C74">
      <w:pPr>
        <w:jc w:val="left"/>
        <w:rPr>
          <w:b/>
          <w:bCs/>
          <w:szCs w:val="24"/>
          <w:lang w:val="en-GB"/>
        </w:rPr>
      </w:pPr>
      <w:r w:rsidRPr="00BA5374">
        <w:rPr>
          <w:b/>
          <w:bCs/>
          <w:szCs w:val="24"/>
          <w:lang w:val="en-GB"/>
        </w:rPr>
        <w:t xml:space="preserve">2. Outline the “narrative battle” and explain </w:t>
      </w:r>
      <w:r w:rsidRPr="00BA5374">
        <w:rPr>
          <w:b/>
          <w:bCs/>
          <w:szCs w:val="24"/>
          <w:u w:val="single"/>
          <w:lang w:val="en-GB"/>
        </w:rPr>
        <w:t>who</w:t>
      </w:r>
      <w:r w:rsidRPr="00BA5374">
        <w:rPr>
          <w:b/>
          <w:bCs/>
          <w:szCs w:val="24"/>
          <w:lang w:val="en-GB"/>
        </w:rPr>
        <w:t xml:space="preserve"> has won it this far.</w:t>
      </w:r>
    </w:p>
    <w:p w14:paraId="5E1702B5" w14:textId="6D78218F" w:rsidR="00CF1387" w:rsidRPr="00CF1387" w:rsidRDefault="00CF1387" w:rsidP="00CF1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iCs/>
          <w:color w:val="7F7F7F" w:themeColor="text1" w:themeTint="80"/>
          <w:szCs w:val="24"/>
          <w:lang w:val="en-GB"/>
        </w:rPr>
      </w:pPr>
      <w:r w:rsidRPr="00CF1387">
        <w:rPr>
          <w:iCs/>
          <w:color w:val="7F7F7F" w:themeColor="text1" w:themeTint="80"/>
          <w:szCs w:val="24"/>
          <w:lang w:val="en-GB"/>
        </w:rPr>
        <w:t>It is about who is right when telling history. In this context, it is about the story of the African American people and their place in society.</w:t>
      </w:r>
    </w:p>
    <w:p w14:paraId="0AD278A3" w14:textId="58145F29" w:rsidR="00A23C74" w:rsidRPr="00CF1387" w:rsidRDefault="00CF1387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iCs/>
          <w:color w:val="7F7F7F" w:themeColor="text1" w:themeTint="80"/>
          <w:szCs w:val="24"/>
          <w:lang w:val="en-GB"/>
        </w:rPr>
      </w:pPr>
      <w:r w:rsidRPr="00CF1387">
        <w:rPr>
          <w:iCs/>
          <w:color w:val="7F7F7F" w:themeColor="text1" w:themeTint="80"/>
          <w:szCs w:val="24"/>
          <w:lang w:val="en-GB"/>
        </w:rPr>
        <w:t xml:space="preserve">For example, Stevenson said that the </w:t>
      </w:r>
      <w:r w:rsidR="00A0359E">
        <w:rPr>
          <w:iCs/>
          <w:color w:val="7F7F7F" w:themeColor="text1" w:themeTint="80"/>
          <w:szCs w:val="24"/>
          <w:lang w:val="en-GB"/>
        </w:rPr>
        <w:t>S</w:t>
      </w:r>
      <w:r w:rsidRPr="00CF1387">
        <w:rPr>
          <w:iCs/>
          <w:color w:val="7F7F7F" w:themeColor="text1" w:themeTint="80"/>
          <w:szCs w:val="24"/>
          <w:lang w:val="en-GB"/>
        </w:rPr>
        <w:t xml:space="preserve">outh told a story of inequality between blacks and whites. The </w:t>
      </w:r>
      <w:r>
        <w:rPr>
          <w:iCs/>
          <w:color w:val="7F7F7F" w:themeColor="text1" w:themeTint="80"/>
          <w:szCs w:val="24"/>
          <w:lang w:val="en-GB"/>
        </w:rPr>
        <w:t>S</w:t>
      </w:r>
      <w:r w:rsidRPr="00CF1387">
        <w:rPr>
          <w:iCs/>
          <w:color w:val="7F7F7F" w:themeColor="text1" w:themeTint="80"/>
          <w:szCs w:val="24"/>
          <w:lang w:val="en-GB"/>
        </w:rPr>
        <w:t>outh is full of elements, e.g., memorials, that represent this story or narrative. Here, th</w:t>
      </w:r>
      <w:r w:rsidR="005528B0">
        <w:rPr>
          <w:iCs/>
          <w:color w:val="7F7F7F" w:themeColor="text1" w:themeTint="80"/>
          <w:szCs w:val="24"/>
          <w:lang w:val="en-GB"/>
        </w:rPr>
        <w:t>e narrative is still not changed to offer a balanced assessment of history</w:t>
      </w:r>
      <w:r w:rsidRPr="00CF1387">
        <w:rPr>
          <w:iCs/>
          <w:color w:val="7F7F7F" w:themeColor="text1" w:themeTint="80"/>
          <w:szCs w:val="24"/>
          <w:lang w:val="en-GB"/>
        </w:rPr>
        <w:t xml:space="preserve">. </w:t>
      </w:r>
    </w:p>
    <w:p w14:paraId="3A2207A3" w14:textId="77777777" w:rsidR="00CF1387" w:rsidRPr="00CF1387" w:rsidRDefault="00CF1387" w:rsidP="00A2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i/>
          <w:szCs w:val="24"/>
          <w:lang w:val="en-GB"/>
        </w:rPr>
      </w:pPr>
    </w:p>
    <w:p w14:paraId="476AA908" w14:textId="77777777" w:rsidR="00A23C74" w:rsidRDefault="00A23C74" w:rsidP="00A23C74">
      <w:pPr>
        <w:jc w:val="left"/>
        <w:rPr>
          <w:b/>
          <w:bCs/>
          <w:iCs/>
          <w:szCs w:val="24"/>
          <w:lang w:val="en-GB"/>
        </w:rPr>
      </w:pPr>
    </w:p>
    <w:p w14:paraId="61E36B00" w14:textId="77777777" w:rsidR="00A23C74" w:rsidRPr="00BA5374" w:rsidRDefault="00A23C74" w:rsidP="00A23C74">
      <w:pPr>
        <w:jc w:val="left"/>
        <w:rPr>
          <w:b/>
          <w:bCs/>
          <w:iCs/>
          <w:szCs w:val="24"/>
          <w:lang w:val="en-GB"/>
        </w:rPr>
      </w:pPr>
      <w:r w:rsidRPr="00BA5374">
        <w:rPr>
          <w:b/>
          <w:bCs/>
          <w:iCs/>
          <w:szCs w:val="24"/>
          <w:lang w:val="en-GB"/>
        </w:rPr>
        <w:t>3. Reflect about necessary changes in American society to bring forward a process of truth and reconciliation with its own past.</w:t>
      </w:r>
    </w:p>
    <w:p w14:paraId="01C06983" w14:textId="5E204CF7" w:rsidR="00CF1387" w:rsidRPr="00CF1387" w:rsidRDefault="00CF1387" w:rsidP="008F2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7F7F7F" w:themeColor="text1" w:themeTint="80"/>
          <w:szCs w:val="24"/>
          <w:lang w:val="en-GB"/>
        </w:rPr>
      </w:pPr>
      <w:r w:rsidRPr="00CF1387">
        <w:rPr>
          <w:color w:val="7F7F7F" w:themeColor="text1" w:themeTint="80"/>
          <w:szCs w:val="24"/>
          <w:lang w:val="en-GB"/>
        </w:rPr>
        <w:t>People need to be educated. The society must learn about all the bad things that happen</w:t>
      </w:r>
      <w:r>
        <w:rPr>
          <w:color w:val="7F7F7F" w:themeColor="text1" w:themeTint="80"/>
          <w:szCs w:val="24"/>
          <w:lang w:val="en-GB"/>
        </w:rPr>
        <w:t>ed</w:t>
      </w:r>
      <w:r w:rsidRPr="00CF1387">
        <w:rPr>
          <w:color w:val="7F7F7F" w:themeColor="text1" w:themeTint="80"/>
          <w:szCs w:val="24"/>
          <w:lang w:val="en-GB"/>
        </w:rPr>
        <w:t>.</w:t>
      </w:r>
      <w:r w:rsidRPr="00CF1387">
        <w:rPr>
          <w:color w:val="7F7F7F" w:themeColor="text1" w:themeTint="80"/>
          <w:szCs w:val="24"/>
          <w:lang w:val="en-GB"/>
        </w:rPr>
        <w:br/>
      </w:r>
      <w:r>
        <w:rPr>
          <w:color w:val="7F7F7F" w:themeColor="text1" w:themeTint="80"/>
          <w:szCs w:val="24"/>
          <w:lang w:val="en-GB"/>
        </w:rPr>
        <w:t>You could construct</w:t>
      </w:r>
      <w:r w:rsidRPr="00CF1387">
        <w:rPr>
          <w:color w:val="7F7F7F" w:themeColor="text1" w:themeTint="80"/>
          <w:szCs w:val="24"/>
          <w:lang w:val="en-GB"/>
        </w:rPr>
        <w:t xml:space="preserve"> new </w:t>
      </w:r>
      <w:r>
        <w:rPr>
          <w:color w:val="7F7F7F" w:themeColor="text1" w:themeTint="80"/>
          <w:szCs w:val="24"/>
          <w:lang w:val="en-GB"/>
        </w:rPr>
        <w:t>m</w:t>
      </w:r>
      <w:r w:rsidRPr="00CF1387">
        <w:rPr>
          <w:color w:val="7F7F7F" w:themeColor="text1" w:themeTint="80"/>
          <w:szCs w:val="24"/>
          <w:lang w:val="en-GB"/>
        </w:rPr>
        <w:t xml:space="preserve">useums and </w:t>
      </w:r>
      <w:r>
        <w:rPr>
          <w:color w:val="7F7F7F" w:themeColor="text1" w:themeTint="80"/>
          <w:szCs w:val="24"/>
          <w:lang w:val="en-GB"/>
        </w:rPr>
        <w:t>m</w:t>
      </w:r>
      <w:r w:rsidRPr="00CF1387">
        <w:rPr>
          <w:color w:val="7F7F7F" w:themeColor="text1" w:themeTint="80"/>
          <w:szCs w:val="24"/>
          <w:lang w:val="en-GB"/>
        </w:rPr>
        <w:t>emorials</w:t>
      </w:r>
      <w:r>
        <w:rPr>
          <w:color w:val="7F7F7F" w:themeColor="text1" w:themeTint="80"/>
          <w:szCs w:val="24"/>
          <w:lang w:val="en-GB"/>
        </w:rPr>
        <w:t xml:space="preserve"> and m</w:t>
      </w:r>
      <w:r w:rsidRPr="00CF1387">
        <w:rPr>
          <w:color w:val="7F7F7F" w:themeColor="text1" w:themeTint="80"/>
          <w:szCs w:val="24"/>
          <w:lang w:val="en-GB"/>
        </w:rPr>
        <w:t>aybe destroy the old ones. The dominant culture in the South which glorified people</w:t>
      </w:r>
      <w:r w:rsidR="005528B0">
        <w:rPr>
          <w:color w:val="7F7F7F" w:themeColor="text1" w:themeTint="80"/>
          <w:szCs w:val="24"/>
          <w:lang w:val="en-GB"/>
        </w:rPr>
        <w:t xml:space="preserve"> who were</w:t>
      </w:r>
      <w:r w:rsidRPr="00CF1387">
        <w:rPr>
          <w:color w:val="7F7F7F" w:themeColor="text1" w:themeTint="80"/>
          <w:szCs w:val="24"/>
          <w:lang w:val="en-GB"/>
        </w:rPr>
        <w:t xml:space="preserve"> involved in a battle for slavery and oppression must be challenged.</w:t>
      </w:r>
    </w:p>
    <w:p w14:paraId="7918D07F" w14:textId="6C61DF4C" w:rsidR="0078716F" w:rsidRPr="00CF1387" w:rsidRDefault="00A23C74" w:rsidP="008F2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color w:val="7F7F7F" w:themeColor="text1" w:themeTint="80"/>
          <w:szCs w:val="24"/>
          <w:lang w:val="en-GB"/>
        </w:rPr>
      </w:pPr>
      <w:r w:rsidRPr="00CF1387">
        <w:rPr>
          <w:color w:val="7F7F7F" w:themeColor="text1" w:themeTint="80"/>
          <w:szCs w:val="24"/>
          <w:lang w:val="en-GB"/>
        </w:rPr>
        <w:t xml:space="preserve">    </w:t>
      </w:r>
    </w:p>
    <w:sectPr w:rsidR="0078716F" w:rsidRPr="00CF138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F696" w14:textId="77777777" w:rsidR="00653603" w:rsidRDefault="00653603" w:rsidP="00A0359E">
      <w:pPr>
        <w:spacing w:after="0" w:line="240" w:lineRule="auto"/>
      </w:pPr>
      <w:r>
        <w:separator/>
      </w:r>
    </w:p>
  </w:endnote>
  <w:endnote w:type="continuationSeparator" w:id="0">
    <w:p w14:paraId="03588220" w14:textId="77777777" w:rsidR="00653603" w:rsidRDefault="00653603" w:rsidP="00A03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A4A8" w14:textId="676B9A73" w:rsidR="00A0359E" w:rsidRDefault="00A0359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11109C" wp14:editId="5D1EEC75">
              <wp:simplePos x="0" y="0"/>
              <wp:positionH relativeFrom="column">
                <wp:posOffset>890270</wp:posOffset>
              </wp:positionH>
              <wp:positionV relativeFrom="paragraph">
                <wp:posOffset>-8890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C7E47D" w14:textId="77777777" w:rsidR="00A0359E" w:rsidRPr="00C64B8C" w:rsidRDefault="00A0359E" w:rsidP="00A0359E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11109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70.1pt;margin-top:-.7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CatJhO4gAAAA4BAAAPAAAAZHJzL2Rvd25yZXYueG1sTE9LS8NAEL4L/odlBG/t&#13;&#10;bkJTSppNKZEiiB5ae/G2yU6T4D5idttGf73jqV4GPuZ7FpvJGnbBMfTeSUjmAhi6xuvetRKO77vZ&#13;&#10;CliIymllvEMJ3xhgU97fFSrX/ur2eDnElpGJC7mS0MU45JyHpkOrwtwP6Oh38qNVkeDYcj2qK5lb&#13;&#10;w1Mhltyq3lFCpwasOmw+D2cr4aXaval9ndrVj6meX0/b4ev4kUn5+DA9rels18AiTvGmgL8N1B9K&#13;&#10;Klb7s9OBGcILkRJVwixZACNCJrIEWC1hmaTAy4L/n1H+AgAA//8DAFBLAQItABQABgAIAAAAIQC2&#13;&#10;gziS/gAAAOEBAAATAAAAAAAAAAAAAAAAAAAAAABbQ29udGVudF9UeXBlc10ueG1sUEsBAi0AFAAG&#13;&#10;AAgAAAAhADj9If/WAAAAlAEAAAsAAAAAAAAAAAAAAAAALwEAAF9yZWxzLy5yZWxzUEsBAi0AFAAG&#13;&#10;AAgAAAAhAKOj02oXAgAALAQAAA4AAAAAAAAAAAAAAAAALgIAAGRycy9lMm9Eb2MueG1sUEsBAi0A&#13;&#10;FAAGAAgAAAAhAJq0mE7iAAAADgEAAA8AAAAAAAAAAAAAAAAAcQQAAGRycy9kb3ducmV2LnhtbFBL&#13;&#10;BQYAAAAABAAEAPMAAACABQAAAAA=&#13;&#10;" filled="f" stroked="f" strokeweight=".5pt">
              <v:textbox>
                <w:txbxContent>
                  <w:p w14:paraId="69C7E47D" w14:textId="77777777" w:rsidR="00A0359E" w:rsidRPr="00C64B8C" w:rsidRDefault="00A0359E" w:rsidP="00A0359E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A354920" wp14:editId="69435C8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A016" w14:textId="77777777" w:rsidR="00653603" w:rsidRDefault="00653603" w:rsidP="00A0359E">
      <w:pPr>
        <w:spacing w:after="0" w:line="240" w:lineRule="auto"/>
      </w:pPr>
      <w:r>
        <w:separator/>
      </w:r>
    </w:p>
  </w:footnote>
  <w:footnote w:type="continuationSeparator" w:id="0">
    <w:p w14:paraId="2724816F" w14:textId="77777777" w:rsidR="00653603" w:rsidRDefault="00653603" w:rsidP="00A03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FB14" w14:textId="5D84B35D" w:rsidR="00A0359E" w:rsidRPr="00A0359E" w:rsidRDefault="00A0359E" w:rsidP="00A0359E">
    <w:pPr>
      <w:pStyle w:val="Kopfzeile"/>
      <w:jc w:val="left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>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  <w:r>
      <w:rPr>
        <w:rFonts w:asciiTheme="majorHAnsi" w:hAnsiTheme="majorHAnsi" w:cstheme="majorHAnsi"/>
        <w:bCs/>
        <w:lang w:val="en-US"/>
      </w:rPr>
      <w:t>[Solutions]</w:t>
    </w:r>
  </w:p>
  <w:p w14:paraId="7E1F9418" w14:textId="77C11C55" w:rsidR="00A0359E" w:rsidRPr="00A0359E" w:rsidRDefault="00A0359E" w:rsidP="00A0359E">
    <w:pPr>
      <w:pStyle w:val="Kopfzeile"/>
      <w:tabs>
        <w:tab w:val="clear" w:pos="4536"/>
        <w:tab w:val="clear" w:pos="9072"/>
        <w:tab w:val="left" w:pos="3649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74"/>
    <w:rsid w:val="000F6C2B"/>
    <w:rsid w:val="00147093"/>
    <w:rsid w:val="00315016"/>
    <w:rsid w:val="003E4D6D"/>
    <w:rsid w:val="005528B0"/>
    <w:rsid w:val="006425F8"/>
    <w:rsid w:val="00653603"/>
    <w:rsid w:val="00666634"/>
    <w:rsid w:val="0078716F"/>
    <w:rsid w:val="008F2D59"/>
    <w:rsid w:val="00926852"/>
    <w:rsid w:val="00A0359E"/>
    <w:rsid w:val="00A23C74"/>
    <w:rsid w:val="00BB508E"/>
    <w:rsid w:val="00BD0935"/>
    <w:rsid w:val="00C44CC2"/>
    <w:rsid w:val="00CF1387"/>
    <w:rsid w:val="00CF315E"/>
    <w:rsid w:val="00E22B0E"/>
    <w:rsid w:val="00E3679A"/>
    <w:rsid w:val="00FE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2FB6D"/>
  <w15:chartTrackingRefBased/>
  <w15:docId w15:val="{BC4567DD-CBD6-D049-AEB1-A1960ED6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C74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23C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3C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3C74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3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3C74"/>
    <w:rPr>
      <w:rFonts w:ascii="Times New Roman" w:hAnsi="Times New Roman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03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359E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A03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359E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A0359E"/>
  </w:style>
  <w:style w:type="character" w:customStyle="1" w:styleId="apple-converted-space">
    <w:name w:val="apple-converted-space"/>
    <w:basedOn w:val="Absatz-Standardschriftart"/>
    <w:rsid w:val="00A0359E"/>
  </w:style>
  <w:style w:type="paragraph" w:styleId="berarbeitung">
    <w:name w:val="Revision"/>
    <w:hidden/>
    <w:uiPriority w:val="99"/>
    <w:semiHidden/>
    <w:rsid w:val="003E4D6D"/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 Version="7"/>
</file>

<file path=customXml/itemProps1.xml><?xml version="1.0" encoding="utf-8"?>
<ds:datastoreItem xmlns:ds="http://schemas.openxmlformats.org/officeDocument/2006/customXml" ds:itemID="{5D0DEA3C-EEDB-A846-B67B-E5714BD4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12</cp:revision>
  <dcterms:created xsi:type="dcterms:W3CDTF">2022-12-05T16:23:00Z</dcterms:created>
  <dcterms:modified xsi:type="dcterms:W3CDTF">2022-12-24T11:06:00Z</dcterms:modified>
</cp:coreProperties>
</file>