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A5F8C" w14:textId="77777777" w:rsidR="00BE41C7" w:rsidRDefault="00BE41C7" w:rsidP="00BE41C7">
      <w:pPr>
        <w:spacing w:line="240" w:lineRule="auto"/>
        <w:ind w:left="-284"/>
        <w:rPr>
          <w:lang w:val="en-GB"/>
        </w:rPr>
      </w:pPr>
      <w:r w:rsidRPr="006A6952">
        <w:rPr>
          <w:b/>
          <w:bCs/>
          <w:lang w:val="en-GB"/>
        </w:rPr>
        <w:t>Typical characteristics of a fairy tale</w:t>
      </w:r>
      <w:r>
        <w:rPr>
          <w:b/>
          <w:bCs/>
          <w:lang w:val="en-GB"/>
        </w:rPr>
        <w:t xml:space="preserve"> (expected solutions):</w:t>
      </w:r>
    </w:p>
    <w:p w14:paraId="0F703F93" w14:textId="77777777" w:rsidR="00BE41C7" w:rsidRPr="00886710" w:rsidRDefault="00BE41C7" w:rsidP="00BE41C7">
      <w:pPr>
        <w:pStyle w:val="Listenabsatz"/>
        <w:numPr>
          <w:ilvl w:val="0"/>
          <w:numId w:val="2"/>
        </w:numPr>
        <w:spacing w:line="480" w:lineRule="auto"/>
        <w:rPr>
          <w:lang w:val="en-GB"/>
        </w:rPr>
      </w:pPr>
      <w:r>
        <w:rPr>
          <w:lang w:val="en-GB"/>
        </w:rPr>
        <w:t>t</w:t>
      </w:r>
      <w:r w:rsidRPr="00886710">
        <w:rPr>
          <w:lang w:val="en-GB"/>
        </w:rPr>
        <w:t>ypical phrases: “Once upon a time…” and “and they lived happily ever after.”</w:t>
      </w:r>
    </w:p>
    <w:p w14:paraId="6043A957" w14:textId="77777777" w:rsidR="00BE41C7" w:rsidRPr="00886710" w:rsidRDefault="00BE41C7" w:rsidP="00BE41C7">
      <w:pPr>
        <w:pStyle w:val="Listenabsatz"/>
        <w:numPr>
          <w:ilvl w:val="0"/>
          <w:numId w:val="2"/>
        </w:numPr>
        <w:spacing w:line="480" w:lineRule="auto"/>
        <w:rPr>
          <w:lang w:val="en-GB"/>
        </w:rPr>
      </w:pPr>
      <w:r>
        <w:rPr>
          <w:lang w:val="en-GB"/>
        </w:rPr>
        <w:t>f</w:t>
      </w:r>
      <w:r w:rsidRPr="00886710">
        <w:rPr>
          <w:lang w:val="en-GB"/>
        </w:rPr>
        <w:t>ast paced and short</w:t>
      </w:r>
    </w:p>
    <w:p w14:paraId="1EC45EA0" w14:textId="77777777" w:rsidR="00BE41C7" w:rsidRPr="00886710" w:rsidRDefault="00BE41C7" w:rsidP="00BE41C7">
      <w:pPr>
        <w:pStyle w:val="Listenabsatz"/>
        <w:numPr>
          <w:ilvl w:val="0"/>
          <w:numId w:val="2"/>
        </w:numPr>
        <w:spacing w:line="480" w:lineRule="auto"/>
        <w:rPr>
          <w:lang w:val="en-GB"/>
        </w:rPr>
      </w:pPr>
      <w:r>
        <w:rPr>
          <w:lang w:val="en-GB"/>
        </w:rPr>
        <w:t>u</w:t>
      </w:r>
      <w:r w:rsidRPr="00886710">
        <w:rPr>
          <w:lang w:val="en-GB"/>
        </w:rPr>
        <w:t>nspecific time and place</w:t>
      </w:r>
    </w:p>
    <w:p w14:paraId="6E6EE8CE" w14:textId="77777777" w:rsidR="00BE41C7" w:rsidRPr="00886710" w:rsidRDefault="00BE41C7" w:rsidP="00BE41C7">
      <w:pPr>
        <w:pStyle w:val="Listenabsatz"/>
        <w:numPr>
          <w:ilvl w:val="0"/>
          <w:numId w:val="2"/>
        </w:numPr>
        <w:spacing w:line="480" w:lineRule="auto"/>
        <w:rPr>
          <w:lang w:val="en-GB"/>
        </w:rPr>
      </w:pPr>
      <w:r>
        <w:rPr>
          <w:lang w:val="en-GB"/>
        </w:rPr>
        <w:t>f</w:t>
      </w:r>
      <w:r w:rsidRPr="00886710">
        <w:rPr>
          <w:lang w:val="en-GB"/>
        </w:rPr>
        <w:t xml:space="preserve">lat characters </w:t>
      </w:r>
    </w:p>
    <w:p w14:paraId="2FE60805" w14:textId="77777777" w:rsidR="00BE41C7" w:rsidRPr="00886710" w:rsidRDefault="00BE41C7" w:rsidP="00BE41C7">
      <w:pPr>
        <w:pStyle w:val="Listenabsatz"/>
        <w:numPr>
          <w:ilvl w:val="0"/>
          <w:numId w:val="2"/>
        </w:numPr>
        <w:spacing w:line="480" w:lineRule="auto"/>
        <w:rPr>
          <w:lang w:val="en-GB"/>
        </w:rPr>
      </w:pPr>
      <w:r>
        <w:rPr>
          <w:lang w:val="en-GB"/>
        </w:rPr>
        <w:t>u</w:t>
      </w:r>
      <w:r w:rsidRPr="00886710">
        <w:rPr>
          <w:lang w:val="en-GB"/>
        </w:rPr>
        <w:t>se of magic, monsters, disguises etc.</w:t>
      </w:r>
    </w:p>
    <w:p w14:paraId="26CE71EC" w14:textId="77777777" w:rsidR="00BE41C7" w:rsidRPr="00886710" w:rsidRDefault="00BE41C7" w:rsidP="00BE41C7">
      <w:pPr>
        <w:pStyle w:val="Listenabsatz"/>
        <w:numPr>
          <w:ilvl w:val="0"/>
          <w:numId w:val="2"/>
        </w:numPr>
        <w:spacing w:line="480" w:lineRule="auto"/>
        <w:rPr>
          <w:lang w:val="en-GB"/>
        </w:rPr>
      </w:pPr>
      <w:r>
        <w:rPr>
          <w:lang w:val="en-GB"/>
        </w:rPr>
        <w:t>o</w:t>
      </w:r>
      <w:r w:rsidRPr="00886710">
        <w:rPr>
          <w:lang w:val="en-GB"/>
        </w:rPr>
        <w:t>ften involving royalty</w:t>
      </w:r>
    </w:p>
    <w:p w14:paraId="58F536DC" w14:textId="77777777" w:rsidR="00BE41C7" w:rsidRPr="00886710" w:rsidRDefault="00BE41C7" w:rsidP="00BE41C7">
      <w:pPr>
        <w:pStyle w:val="Listenabsatz"/>
        <w:numPr>
          <w:ilvl w:val="0"/>
          <w:numId w:val="2"/>
        </w:numPr>
        <w:spacing w:line="480" w:lineRule="auto"/>
        <w:rPr>
          <w:lang w:val="en-GB"/>
        </w:rPr>
      </w:pPr>
      <w:r>
        <w:rPr>
          <w:lang w:val="en-GB"/>
        </w:rPr>
        <w:t>ending</w:t>
      </w:r>
      <w:r w:rsidRPr="00886710">
        <w:rPr>
          <w:lang w:val="en-GB"/>
        </w:rPr>
        <w:t xml:space="preserve"> marriage</w:t>
      </w:r>
    </w:p>
    <w:p w14:paraId="524684BD" w14:textId="77777777" w:rsidR="00BE41C7" w:rsidRDefault="00BE41C7" w:rsidP="00BE41C7">
      <w:pPr>
        <w:pStyle w:val="Listenabsatz"/>
        <w:numPr>
          <w:ilvl w:val="0"/>
          <w:numId w:val="2"/>
        </w:numPr>
        <w:spacing w:line="480" w:lineRule="auto"/>
        <w:rPr>
          <w:lang w:val="en-GB"/>
        </w:rPr>
      </w:pPr>
      <w:r>
        <w:rPr>
          <w:lang w:val="en-GB"/>
        </w:rPr>
        <w:t xml:space="preserve">taking </w:t>
      </w:r>
      <w:r w:rsidRPr="00886710">
        <w:rPr>
          <w:lang w:val="en-GB"/>
        </w:rPr>
        <w:t>place in a castle, woods etc.</w:t>
      </w:r>
    </w:p>
    <w:p w14:paraId="765F394C" w14:textId="77777777" w:rsidR="00BE41C7" w:rsidRPr="00E9114A" w:rsidRDefault="00BE41C7" w:rsidP="00BE41C7">
      <w:pPr>
        <w:pStyle w:val="Listenabsatz"/>
        <w:spacing w:line="480" w:lineRule="auto"/>
        <w:ind w:left="436"/>
        <w:rPr>
          <w:lang w:val="en-GB"/>
        </w:rPr>
      </w:pPr>
    </w:p>
    <w:p w14:paraId="3E26155E" w14:textId="67C7A858" w:rsidR="00BE41C7" w:rsidRPr="00A436BE" w:rsidRDefault="00BE41C7" w:rsidP="00BE41C7">
      <w:pPr>
        <w:spacing w:line="480" w:lineRule="auto"/>
        <w:ind w:left="-284"/>
        <w:rPr>
          <w:b/>
          <w:bCs/>
          <w:lang w:val="en-GB"/>
        </w:rPr>
      </w:pPr>
      <w:r>
        <w:rPr>
          <w:b/>
          <w:bCs/>
          <w:lang w:val="en-GB"/>
        </w:rPr>
        <w:t xml:space="preserve">Expected solutions </w:t>
      </w:r>
      <w:r>
        <w:rPr>
          <w:b/>
          <w:bCs/>
          <w:lang w:val="en-GB"/>
        </w:rPr>
        <w:t>f</w:t>
      </w:r>
      <w:r w:rsidRPr="00A436BE">
        <w:rPr>
          <w:b/>
          <w:bCs/>
          <w:lang w:val="en-GB"/>
        </w:rPr>
        <w:t>airy tale</w:t>
      </w:r>
      <w:r>
        <w:rPr>
          <w:b/>
          <w:bCs/>
          <w:lang w:val="en-GB"/>
        </w:rPr>
        <w:t>:</w:t>
      </w:r>
    </w:p>
    <w:p w14:paraId="560E7B42" w14:textId="77777777" w:rsidR="00BE41C7" w:rsidRPr="00A436BE" w:rsidRDefault="00BE41C7" w:rsidP="00BE41C7">
      <w:pPr>
        <w:spacing w:line="360" w:lineRule="auto"/>
        <w:ind w:left="-284"/>
        <w:rPr>
          <w:lang w:val="en-GB"/>
        </w:rPr>
      </w:pPr>
      <w:r w:rsidRPr="00A436BE">
        <w:rPr>
          <w:lang w:val="en-GB"/>
        </w:rPr>
        <w:t>The stor</w:t>
      </w:r>
      <w:r>
        <w:rPr>
          <w:lang w:val="en-GB"/>
        </w:rPr>
        <w:t>y…</w:t>
      </w:r>
    </w:p>
    <w:p w14:paraId="049B7117" w14:textId="77777777" w:rsidR="00BE41C7" w:rsidRPr="00886710" w:rsidRDefault="00BE41C7" w:rsidP="00BE41C7">
      <w:pPr>
        <w:pStyle w:val="Listenabsatz"/>
        <w:numPr>
          <w:ilvl w:val="0"/>
          <w:numId w:val="1"/>
        </w:numPr>
        <w:spacing w:line="360" w:lineRule="auto"/>
        <w:rPr>
          <w:color w:val="000000" w:themeColor="text1"/>
          <w:lang w:val="en-GB"/>
        </w:rPr>
      </w:pPr>
      <w:r w:rsidRPr="00886710">
        <w:rPr>
          <w:color w:val="000000" w:themeColor="text1"/>
          <w:lang w:val="en-GB"/>
        </w:rPr>
        <w:t>…has retained the original plot structure and characters.</w:t>
      </w:r>
    </w:p>
    <w:p w14:paraId="5A4E383A" w14:textId="77777777" w:rsidR="00BE41C7" w:rsidRPr="00886710" w:rsidRDefault="00BE41C7" w:rsidP="00BE41C7">
      <w:pPr>
        <w:pStyle w:val="Listenabsatz"/>
        <w:numPr>
          <w:ilvl w:val="0"/>
          <w:numId w:val="1"/>
        </w:numPr>
        <w:spacing w:line="360" w:lineRule="auto"/>
        <w:rPr>
          <w:color w:val="000000" w:themeColor="text1"/>
          <w:lang w:val="en-GB"/>
        </w:rPr>
      </w:pPr>
      <w:r w:rsidRPr="00886710">
        <w:rPr>
          <w:color w:val="000000" w:themeColor="text1"/>
          <w:lang w:val="en-GB"/>
        </w:rPr>
        <w:t>…uses typical fairy tale characteristics.</w:t>
      </w:r>
    </w:p>
    <w:p w14:paraId="05CFDDBE" w14:textId="77777777" w:rsidR="00BE41C7" w:rsidRPr="00886710" w:rsidRDefault="00BE41C7" w:rsidP="00BE41C7">
      <w:pPr>
        <w:pStyle w:val="Listenabsatz"/>
        <w:numPr>
          <w:ilvl w:val="0"/>
          <w:numId w:val="1"/>
        </w:numPr>
        <w:spacing w:line="360" w:lineRule="auto"/>
        <w:rPr>
          <w:color w:val="000000" w:themeColor="text1"/>
          <w:lang w:val="en-GB"/>
        </w:rPr>
      </w:pPr>
      <w:r w:rsidRPr="00886710">
        <w:rPr>
          <w:color w:val="000000" w:themeColor="text1"/>
          <w:lang w:val="en-GB"/>
        </w:rPr>
        <w:t>…is written in an interesting manner.</w:t>
      </w:r>
    </w:p>
    <w:p w14:paraId="127A7F3E" w14:textId="77777777" w:rsidR="00BE41C7" w:rsidRPr="00886710" w:rsidRDefault="00BE41C7" w:rsidP="00BE41C7">
      <w:pPr>
        <w:pStyle w:val="Listenabsatz"/>
        <w:numPr>
          <w:ilvl w:val="0"/>
          <w:numId w:val="1"/>
        </w:numPr>
        <w:spacing w:line="360" w:lineRule="auto"/>
        <w:rPr>
          <w:color w:val="000000" w:themeColor="text1"/>
          <w:lang w:val="en-GB"/>
        </w:rPr>
      </w:pPr>
      <w:r w:rsidRPr="00886710">
        <w:rPr>
          <w:color w:val="000000" w:themeColor="text1"/>
          <w:lang w:val="en-GB"/>
        </w:rPr>
        <w:t>…is changed in some way from the original (new characters, magical elements, further plot points etc.).</w:t>
      </w:r>
    </w:p>
    <w:p w14:paraId="0070305D" w14:textId="77777777" w:rsidR="00BE41C7" w:rsidRPr="00886710" w:rsidRDefault="00BE41C7" w:rsidP="00BE41C7">
      <w:pPr>
        <w:pStyle w:val="Listenabsatz"/>
        <w:numPr>
          <w:ilvl w:val="0"/>
          <w:numId w:val="1"/>
        </w:numPr>
        <w:spacing w:line="360" w:lineRule="auto"/>
        <w:rPr>
          <w:color w:val="000000" w:themeColor="text1"/>
          <w:lang w:val="en-GB"/>
        </w:rPr>
      </w:pPr>
      <w:r w:rsidRPr="00886710">
        <w:rPr>
          <w:color w:val="000000" w:themeColor="text1"/>
          <w:lang w:val="en-GB"/>
        </w:rPr>
        <w:t>…uses correct grammar and spelling.</w:t>
      </w:r>
    </w:p>
    <w:p w14:paraId="6AFC1428" w14:textId="77777777" w:rsidR="00BE41C7" w:rsidRPr="00886710" w:rsidRDefault="00BE41C7" w:rsidP="00BE41C7">
      <w:pPr>
        <w:pStyle w:val="Listenabsatz"/>
        <w:numPr>
          <w:ilvl w:val="0"/>
          <w:numId w:val="1"/>
        </w:numPr>
        <w:spacing w:line="360" w:lineRule="auto"/>
        <w:rPr>
          <w:color w:val="000000" w:themeColor="text1"/>
          <w:lang w:val="en-GB"/>
        </w:rPr>
      </w:pPr>
      <w:r w:rsidRPr="00886710">
        <w:rPr>
          <w:color w:val="000000" w:themeColor="text1"/>
          <w:lang w:val="en-GB"/>
        </w:rPr>
        <w:t>…is between 1-3 pages long.</w:t>
      </w:r>
    </w:p>
    <w:p w14:paraId="639E4176" w14:textId="77777777" w:rsidR="00BE41C7" w:rsidRPr="00CA3C17" w:rsidRDefault="00BE41C7" w:rsidP="00BE41C7">
      <w:pPr>
        <w:spacing w:line="480" w:lineRule="auto"/>
        <w:ind w:left="-284"/>
        <w:rPr>
          <w:lang w:val="en-GB"/>
        </w:rPr>
      </w:pPr>
    </w:p>
    <w:p w14:paraId="494225B5" w14:textId="77777777" w:rsidR="00BE41C7" w:rsidRPr="00463B12" w:rsidRDefault="00BE41C7" w:rsidP="00BE41C7">
      <w:pPr>
        <w:rPr>
          <w:b/>
          <w:bCs/>
          <w:lang w:val="en-GB"/>
        </w:rPr>
      </w:pPr>
    </w:p>
    <w:p w14:paraId="25F3BD2E" w14:textId="77777777" w:rsidR="0078716F" w:rsidRDefault="0078716F"/>
    <w:sectPr w:rsidR="0078716F" w:rsidSect="0061464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7A7DC" w14:textId="77777777" w:rsidR="002729F9" w:rsidRDefault="002729F9" w:rsidP="00BE41C7">
      <w:pPr>
        <w:spacing w:after="0" w:line="240" w:lineRule="auto"/>
      </w:pPr>
      <w:r>
        <w:separator/>
      </w:r>
    </w:p>
  </w:endnote>
  <w:endnote w:type="continuationSeparator" w:id="0">
    <w:p w14:paraId="287304DE" w14:textId="77777777" w:rsidR="002729F9" w:rsidRDefault="002729F9" w:rsidP="00BE4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9644D" w14:textId="77777777" w:rsidR="00000000" w:rsidRDefault="00000000" w:rsidP="0006174F">
    <w:pPr>
      <w:pStyle w:val="Fuzeile"/>
      <w:tabs>
        <w:tab w:val="clear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5031500" wp14:editId="22498747">
              <wp:simplePos x="0" y="0"/>
              <wp:positionH relativeFrom="column">
                <wp:posOffset>886460</wp:posOffset>
              </wp:positionH>
              <wp:positionV relativeFrom="paragraph">
                <wp:posOffset>-52251</wp:posOffset>
              </wp:positionV>
              <wp:extent cx="2943497" cy="444137"/>
              <wp:effectExtent l="0" t="0" r="3175" b="635"/>
              <wp:wrapNone/>
              <wp:docPr id="710342899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43497" cy="44413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9AD626E" w14:textId="77777777" w:rsidR="00000000" w:rsidRPr="00CA254B" w:rsidRDefault="00000000" w:rsidP="0006174F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CA254B">
                            <w:rPr>
                              <w:rFonts w:ascii="Arial" w:hAnsi="Arial" w:cs="Arial"/>
                              <w:sz w:val="15"/>
                              <w:szCs w:val="15"/>
                              <w:lang w:val="en-US"/>
                            </w:rPr>
                            <w:t>Except where otherwise noted, this material by</w:t>
                          </w:r>
                          <w:r w:rsidRPr="00CA254B"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>Milena Richter</w:t>
                          </w:r>
                          <w:r w:rsidRPr="00CA254B">
                            <w:rPr>
                              <w:rFonts w:ascii="Arial" w:hAnsi="Arial" w:cs="Arial"/>
                              <w:sz w:val="15"/>
                              <w:szCs w:val="15"/>
                              <w:lang w:val="en-US"/>
                            </w:rPr>
                            <w:t xml:space="preserve"> is licensed under a Creative Commons Attribution 4.0 International license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031500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69.8pt;margin-top:-4.1pt;width:231.75pt;height:34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" fillcolor="white [3201]" stroked="f" strokeweight=".5pt">
              <v:textbox>
                <w:txbxContent>
                  <w:p w14:paraId="09AD626E" w14:textId="77777777" w:rsidR="00000000" w:rsidRPr="00CA254B" w:rsidRDefault="00000000" w:rsidP="0006174F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CA254B">
                      <w:rPr>
                        <w:rFonts w:ascii="Arial" w:hAnsi="Arial" w:cs="Arial"/>
                        <w:sz w:val="15"/>
                        <w:szCs w:val="15"/>
                        <w:lang w:val="en-US"/>
                      </w:rPr>
                      <w:t>Except where otherwise noted, this material by</w:t>
                    </w:r>
                    <w:r w:rsidRPr="00CA254B"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>Milena Richter</w:t>
                    </w:r>
                    <w:r w:rsidRPr="00CA254B">
                      <w:rPr>
                        <w:rFonts w:ascii="Arial" w:hAnsi="Arial" w:cs="Arial"/>
                        <w:sz w:val="15"/>
                        <w:szCs w:val="15"/>
                        <w:lang w:val="en-US"/>
                      </w:rPr>
                      <w:t xml:space="preserve"> is licensed under a Creative Commons Attribution 4.0 International license (CC-BY).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0" layoutInCell="1" allowOverlap="1" wp14:anchorId="79D7864E" wp14:editId="5C48648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86460" cy="304800"/>
          <wp:effectExtent l="0" t="0" r="2540" b="0"/>
          <wp:wrapNone/>
          <wp:docPr id="1397073308" name="Grafik 1397073308" descr="Ein Bild, das Symbol, Screenshot, Billardkuge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2764741" name="Grafik 1" descr="Ein Bild, das Symbol, Screenshot, Billardkugel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6460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03862" w14:textId="77777777" w:rsidR="00000000" w:rsidRDefault="00000000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0459B88" wp14:editId="696CA059">
              <wp:simplePos x="0" y="0"/>
              <wp:positionH relativeFrom="column">
                <wp:posOffset>784497</wp:posOffset>
              </wp:positionH>
              <wp:positionV relativeFrom="paragraph">
                <wp:posOffset>-38735</wp:posOffset>
              </wp:positionV>
              <wp:extent cx="2943497" cy="444137"/>
              <wp:effectExtent l="0" t="0" r="3175" b="635"/>
              <wp:wrapNone/>
              <wp:docPr id="1643403595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43497" cy="44413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21C6024" w14:textId="77777777" w:rsidR="00000000" w:rsidRPr="00CA254B" w:rsidRDefault="00000000" w:rsidP="0006174F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CA254B">
                            <w:rPr>
                              <w:rFonts w:ascii="Arial" w:hAnsi="Arial" w:cs="Arial"/>
                              <w:sz w:val="15"/>
                              <w:szCs w:val="15"/>
                              <w:lang w:val="en-US"/>
                            </w:rPr>
                            <w:t>Except where otherwise noted, this material by</w:t>
                          </w:r>
                          <w:r w:rsidRPr="00CA254B"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>Milena Richter</w:t>
                          </w:r>
                          <w:r w:rsidRPr="00CA254B">
                            <w:rPr>
                              <w:rFonts w:ascii="Arial" w:hAnsi="Arial" w:cs="Arial"/>
                              <w:sz w:val="15"/>
                              <w:szCs w:val="15"/>
                              <w:lang w:val="en-US"/>
                            </w:rPr>
                            <w:t xml:space="preserve"> is licensed under a Creative Commons Attribution 4.0 International license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459B8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1.75pt;margin-top:-3.05pt;width:231.75pt;height:34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" fillcolor="white [3201]" stroked="f" strokeweight=".5pt">
              <v:textbox>
                <w:txbxContent>
                  <w:p w14:paraId="021C6024" w14:textId="77777777" w:rsidR="00000000" w:rsidRPr="00CA254B" w:rsidRDefault="00000000" w:rsidP="0006174F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CA254B">
                      <w:rPr>
                        <w:rFonts w:ascii="Arial" w:hAnsi="Arial" w:cs="Arial"/>
                        <w:sz w:val="15"/>
                        <w:szCs w:val="15"/>
                        <w:lang w:val="en-US"/>
                      </w:rPr>
                      <w:t>Except where otherwise noted, this material by</w:t>
                    </w:r>
                    <w:r w:rsidRPr="00CA254B"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>Milena Richter</w:t>
                    </w:r>
                    <w:r w:rsidRPr="00CA254B">
                      <w:rPr>
                        <w:rFonts w:ascii="Arial" w:hAnsi="Arial" w:cs="Arial"/>
                        <w:sz w:val="15"/>
                        <w:szCs w:val="15"/>
                        <w:lang w:val="en-US"/>
                      </w:rPr>
                      <w:t xml:space="preserve"> is licensed under a Creative Commons Attribution 4.0 International license (CC-BY).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07505E69" wp14:editId="3142A116">
          <wp:simplePos x="0" y="0"/>
          <wp:positionH relativeFrom="column">
            <wp:posOffset>-174172</wp:posOffset>
          </wp:positionH>
          <wp:positionV relativeFrom="paragraph">
            <wp:posOffset>0</wp:posOffset>
          </wp:positionV>
          <wp:extent cx="886460" cy="304800"/>
          <wp:effectExtent l="0" t="0" r="2540" b="0"/>
          <wp:wrapNone/>
          <wp:docPr id="1721175150" name="Grafik 1721175150" descr="Ein Bild, das Symbol, Screenshot, Billardkuge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2764741" name="Grafik 1" descr="Ein Bild, das Symbol, Screenshot, Billardkugel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6460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A8494" w14:textId="77777777" w:rsidR="002729F9" w:rsidRDefault="002729F9" w:rsidP="00BE41C7">
      <w:pPr>
        <w:spacing w:after="0" w:line="240" w:lineRule="auto"/>
      </w:pPr>
      <w:r>
        <w:separator/>
      </w:r>
    </w:p>
  </w:footnote>
  <w:footnote w:type="continuationSeparator" w:id="0">
    <w:p w14:paraId="694C616E" w14:textId="77777777" w:rsidR="002729F9" w:rsidRDefault="002729F9" w:rsidP="00BE4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FC992" w14:textId="77777777" w:rsidR="00000000" w:rsidRPr="00A161C4" w:rsidRDefault="00000000" w:rsidP="00886710">
    <w:pPr>
      <w:pStyle w:val="Kopfzeile"/>
      <w:jc w:val="center"/>
      <w:rPr>
        <w:b/>
        <w:bCs/>
        <w:sz w:val="21"/>
        <w:szCs w:val="21"/>
        <w:lang w:val="en-GB"/>
      </w:rPr>
    </w:pPr>
    <w:r w:rsidRPr="00A161C4">
      <w:rPr>
        <w:b/>
        <w:bCs/>
        <w:i/>
        <w:iCs/>
        <w:sz w:val="21"/>
        <w:szCs w:val="21"/>
        <w:lang w:val="en-GB"/>
      </w:rPr>
      <w:t>Twelfth Night</w:t>
    </w:r>
    <w:r w:rsidRPr="00A161C4">
      <w:rPr>
        <w:b/>
        <w:bCs/>
        <w:sz w:val="21"/>
        <w:szCs w:val="21"/>
        <w:lang w:val="en-GB"/>
      </w:rPr>
      <w:t xml:space="preserve">: Looking back at the play             </w:t>
    </w:r>
    <w:r>
      <w:rPr>
        <w:b/>
        <w:bCs/>
        <w:sz w:val="21"/>
        <w:szCs w:val="21"/>
        <w:lang w:val="en-GB"/>
      </w:rPr>
      <w:t xml:space="preserve">       </w:t>
    </w:r>
    <w:r w:rsidRPr="00A161C4">
      <w:rPr>
        <w:b/>
        <w:bCs/>
        <w:sz w:val="21"/>
        <w:szCs w:val="21"/>
        <w:lang w:val="en-GB"/>
      </w:rPr>
      <w:t xml:space="preserve"> </w:t>
    </w:r>
    <w:r>
      <w:rPr>
        <w:b/>
        <w:bCs/>
        <w:sz w:val="21"/>
        <w:szCs w:val="21"/>
        <w:lang w:val="en-GB"/>
      </w:rPr>
      <w:t>Solutions</w:t>
    </w:r>
    <w:r w:rsidRPr="00A161C4">
      <w:rPr>
        <w:b/>
        <w:bCs/>
        <w:sz w:val="21"/>
        <w:szCs w:val="21"/>
        <w:lang w:val="en-GB"/>
      </w:rPr>
      <w:t xml:space="preserve">                     Worksheet</w:t>
    </w:r>
    <w:r>
      <w:rPr>
        <w:b/>
        <w:bCs/>
        <w:sz w:val="21"/>
        <w:szCs w:val="21"/>
        <w:lang w:val="en-GB"/>
      </w:rPr>
      <w:t xml:space="preserve"> </w:t>
    </w:r>
    <w:r>
      <w:rPr>
        <w:b/>
        <w:bCs/>
        <w:sz w:val="21"/>
        <w:szCs w:val="21"/>
        <w:lang w:val="en-GB"/>
      </w:rPr>
      <w:t>4</w:t>
    </w:r>
    <w:r>
      <w:rPr>
        <w:b/>
        <w:bCs/>
        <w:sz w:val="21"/>
        <w:szCs w:val="21"/>
        <w:lang w:val="en-GB"/>
      </w:rPr>
      <w:t xml:space="preserve">: Writing a fairy </w:t>
    </w:r>
    <w:proofErr w:type="gramStart"/>
    <w:r>
      <w:rPr>
        <w:b/>
        <w:bCs/>
        <w:sz w:val="21"/>
        <w:szCs w:val="21"/>
        <w:lang w:val="en-GB"/>
      </w:rPr>
      <w:t>tale</w:t>
    </w:r>
    <w:proofErr w:type="gramEnd"/>
  </w:p>
  <w:p w14:paraId="64F4DDEC" w14:textId="77777777" w:rsidR="00000000" w:rsidRPr="006F58ED" w:rsidRDefault="00000000" w:rsidP="00886710">
    <w:pPr>
      <w:pStyle w:val="Kopfzeile"/>
      <w:rPr>
        <w:sz w:val="21"/>
        <w:szCs w:val="21"/>
        <w:lang w:val="en-GB"/>
      </w:rPr>
    </w:pPr>
    <w:r w:rsidRPr="00A161C4">
      <w:rPr>
        <w:sz w:val="21"/>
        <w:szCs w:val="21"/>
        <w:lang w:val="en-GB"/>
      </w:rPr>
      <w:t xml:space="preserve">                                                                                                                                                            </w:t>
    </w:r>
    <w:r w:rsidRPr="00A161C4">
      <w:rPr>
        <w:sz w:val="21"/>
        <w:szCs w:val="21"/>
        <w:lang w:val="en-GB"/>
      </w:rPr>
      <w:tab/>
      <w:t>Milena Richter</w:t>
    </w:r>
  </w:p>
  <w:p w14:paraId="20F2988D" w14:textId="77777777" w:rsidR="00000000" w:rsidRPr="00886710" w:rsidRDefault="00000000" w:rsidP="0088671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D54E7" w14:textId="77777777" w:rsidR="00BE41C7" w:rsidRPr="00A161C4" w:rsidRDefault="00BE41C7" w:rsidP="00BE41C7">
    <w:pPr>
      <w:pStyle w:val="Kopfzeile"/>
      <w:jc w:val="center"/>
      <w:rPr>
        <w:b/>
        <w:bCs/>
        <w:sz w:val="21"/>
        <w:szCs w:val="21"/>
        <w:lang w:val="en-GB"/>
      </w:rPr>
    </w:pPr>
    <w:r w:rsidRPr="00A161C4">
      <w:rPr>
        <w:b/>
        <w:bCs/>
        <w:i/>
        <w:iCs/>
        <w:sz w:val="21"/>
        <w:szCs w:val="21"/>
        <w:lang w:val="en-GB"/>
      </w:rPr>
      <w:t>Twelfth Night</w:t>
    </w:r>
    <w:r w:rsidRPr="00A161C4">
      <w:rPr>
        <w:b/>
        <w:bCs/>
        <w:sz w:val="21"/>
        <w:szCs w:val="21"/>
        <w:lang w:val="en-GB"/>
      </w:rPr>
      <w:t xml:space="preserve">: Looking back at the play             </w:t>
    </w:r>
    <w:r>
      <w:rPr>
        <w:b/>
        <w:bCs/>
        <w:sz w:val="21"/>
        <w:szCs w:val="21"/>
        <w:lang w:val="en-GB"/>
      </w:rPr>
      <w:t xml:space="preserve">       </w:t>
    </w:r>
    <w:r w:rsidRPr="00A161C4">
      <w:rPr>
        <w:b/>
        <w:bCs/>
        <w:sz w:val="21"/>
        <w:szCs w:val="21"/>
        <w:lang w:val="en-GB"/>
      </w:rPr>
      <w:t xml:space="preserve"> </w:t>
    </w:r>
    <w:r>
      <w:rPr>
        <w:b/>
        <w:bCs/>
        <w:sz w:val="21"/>
        <w:szCs w:val="21"/>
        <w:lang w:val="en-GB"/>
      </w:rPr>
      <w:t>Solutions</w:t>
    </w:r>
    <w:r w:rsidRPr="00A161C4">
      <w:rPr>
        <w:b/>
        <w:bCs/>
        <w:sz w:val="21"/>
        <w:szCs w:val="21"/>
        <w:lang w:val="en-GB"/>
      </w:rPr>
      <w:t xml:space="preserve">                     Worksheet</w:t>
    </w:r>
    <w:r>
      <w:rPr>
        <w:b/>
        <w:bCs/>
        <w:sz w:val="21"/>
        <w:szCs w:val="21"/>
        <w:lang w:val="en-GB"/>
      </w:rPr>
      <w:t xml:space="preserve"> 4: Writing a fairy </w:t>
    </w:r>
    <w:proofErr w:type="gramStart"/>
    <w:r>
      <w:rPr>
        <w:b/>
        <w:bCs/>
        <w:sz w:val="21"/>
        <w:szCs w:val="21"/>
        <w:lang w:val="en-GB"/>
      </w:rPr>
      <w:t>tale</w:t>
    </w:r>
    <w:proofErr w:type="gramEnd"/>
  </w:p>
  <w:p w14:paraId="364B17E6" w14:textId="02DB9894" w:rsidR="00000000" w:rsidRPr="00BE41C7" w:rsidRDefault="00BE41C7" w:rsidP="00886710">
    <w:pPr>
      <w:pStyle w:val="Kopfzeile"/>
      <w:rPr>
        <w:sz w:val="21"/>
        <w:szCs w:val="21"/>
        <w:lang w:val="en-GB"/>
      </w:rPr>
    </w:pPr>
    <w:r w:rsidRPr="00A161C4">
      <w:rPr>
        <w:sz w:val="21"/>
        <w:szCs w:val="21"/>
        <w:lang w:val="en-GB"/>
      </w:rPr>
      <w:t xml:space="preserve">                                                                                                                                                            </w:t>
    </w:r>
    <w:r w:rsidRPr="00A161C4">
      <w:rPr>
        <w:sz w:val="21"/>
        <w:szCs w:val="21"/>
        <w:lang w:val="en-GB"/>
      </w:rPr>
      <w:tab/>
      <w:t>Milena Richter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202F82"/>
    <w:multiLevelType w:val="hybridMultilevel"/>
    <w:tmpl w:val="B406CCEA"/>
    <w:lvl w:ilvl="0" w:tplc="0407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41966AB1"/>
    <w:multiLevelType w:val="hybridMultilevel"/>
    <w:tmpl w:val="D0B2E9D0"/>
    <w:lvl w:ilvl="0" w:tplc="0407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 w16cid:durableId="1680429128">
    <w:abstractNumId w:val="0"/>
  </w:num>
  <w:num w:numId="2" w16cid:durableId="268895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1C7"/>
    <w:rsid w:val="000B0EAE"/>
    <w:rsid w:val="000F6C2B"/>
    <w:rsid w:val="002729F9"/>
    <w:rsid w:val="00666634"/>
    <w:rsid w:val="0078716F"/>
    <w:rsid w:val="00BD0935"/>
    <w:rsid w:val="00BE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07D7977"/>
  <w15:chartTrackingRefBased/>
  <w15:docId w15:val="{86CA8585-2CE6-E94A-8B44-D686C3AA3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E41C7"/>
    <w:pPr>
      <w:spacing w:after="160" w:line="259" w:lineRule="auto"/>
    </w:pPr>
    <w:rPr>
      <w:kern w:val="0"/>
      <w:sz w:val="22"/>
      <w:szCs w:val="22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E41C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E4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E41C7"/>
    <w:rPr>
      <w:kern w:val="0"/>
      <w:sz w:val="22"/>
      <w:szCs w:val="22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BE4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E41C7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564</Characters>
  <Application>Microsoft Office Word</Application>
  <DocSecurity>0</DocSecurity>
  <Lines>18</Lines>
  <Paragraphs>7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Grimsmann</dc:creator>
  <cp:keywords/>
  <dc:description/>
  <cp:lastModifiedBy>Leon Grimsmann</cp:lastModifiedBy>
  <cp:revision>1</cp:revision>
  <dcterms:created xsi:type="dcterms:W3CDTF">2023-09-16T12:45:00Z</dcterms:created>
  <dcterms:modified xsi:type="dcterms:W3CDTF">2023-09-16T12:46:00Z</dcterms:modified>
</cp:coreProperties>
</file>